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3E3886E3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405B74">
        <w:rPr>
          <w:rFonts w:ascii="Calibri Light" w:eastAsia="SimSun" w:hAnsi="Calibri Light" w:cs="Calibri Light"/>
          <w:b/>
          <w:bCs/>
          <w:iCs/>
          <w:sz w:val="22"/>
          <w:szCs w:val="22"/>
        </w:rPr>
        <w:t>6</w:t>
      </w:r>
      <w:r w:rsidR="009C5DBB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BA1E6F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405B74">
        <w:rPr>
          <w:rFonts w:ascii="Calibri Light" w:eastAsia="SimSun" w:hAnsi="Calibri Light" w:cs="Calibri Light"/>
          <w:iCs/>
          <w:sz w:val="22"/>
          <w:szCs w:val="22"/>
        </w:rPr>
        <w:t>02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405B74">
        <w:rPr>
          <w:rFonts w:ascii="Calibri Light" w:eastAsia="SimSun" w:hAnsi="Calibri Light" w:cs="Calibri Light"/>
          <w:iCs/>
          <w:sz w:val="22"/>
          <w:szCs w:val="22"/>
        </w:rPr>
        <w:t>6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5923A794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735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405B7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405B7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503 t.j</w:t>
      </w:r>
      <w:r w:rsidR="00C858C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405B74">
        <w:rPr>
          <w:rFonts w:ascii="Calibri Light" w:eastAsia="SimSun" w:hAnsi="Calibri Light" w:cs="Calibri Light"/>
          <w:i w:val="0"/>
          <w:sz w:val="22"/>
          <w:szCs w:val="22"/>
        </w:rPr>
        <w:t>01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05B74">
        <w:rPr>
          <w:rFonts w:ascii="Calibri Light" w:eastAsia="SimSun" w:hAnsi="Calibri Light" w:cs="Calibri Light"/>
          <w:i w:val="0"/>
          <w:sz w:val="22"/>
          <w:szCs w:val="22"/>
        </w:rPr>
        <w:t>czerwca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2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</w:t>
      </w:r>
      <w:r w:rsidR="00405B74">
        <w:rPr>
          <w:rFonts w:ascii="Calibri Light" w:eastAsia="SimSun" w:hAnsi="Calibri Light" w:cs="Calibri Light"/>
          <w:i w:val="0"/>
          <w:sz w:val="22"/>
          <w:szCs w:val="22"/>
        </w:rPr>
        <w:t>. Lidl Sp. z o.o.</w:t>
      </w:r>
      <w:r w:rsidR="00302DDA" w:rsidRPr="0064396C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405B74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9C5DB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p</w:t>
      </w:r>
      <w:r w:rsidR="009C5DBB" w:rsidRPr="009C5DB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rzebudow</w:t>
      </w:r>
      <w:r w:rsidR="009C5DB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9C5DBB" w:rsidRPr="009C5DB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dachu w budynku biurowym – montaż dwóch okien połaciowych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</w:t>
      </w:r>
      <w:r w:rsidR="009C5DB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</w:t>
      </w:r>
      <w:r w:rsidR="00302DDA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9C5DB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1958/8.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1161BF4C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405B74">
        <w:rPr>
          <w:rFonts w:ascii="Calibri Light" w:eastAsia="SimSun" w:hAnsi="Calibri Light" w:cs="Calibri Light"/>
          <w:b/>
          <w:bCs/>
          <w:iCs/>
          <w:sz w:val="22"/>
          <w:szCs w:val="22"/>
        </w:rPr>
        <w:t>6</w:t>
      </w:r>
      <w:r w:rsidR="009C5DBB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9563BA"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10534EF6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6708E93D" w14:textId="77777777" w:rsidR="009C5DBB" w:rsidRDefault="009C5DBB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5ED38A18" w14:textId="5BE8BA00" w:rsidR="00C8014F" w:rsidRPr="009C5DBB" w:rsidRDefault="00D6601D" w:rsidP="009C5DBB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6DF46F71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5644207" w14:textId="36333BB2" w:rsidR="009C5DBB" w:rsidRPr="009C5DBB" w:rsidRDefault="009C5DBB" w:rsidP="009C5DBB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b/>
          <w:bCs/>
          <w:i w:val="0"/>
        </w:rPr>
      </w:pPr>
      <w:r w:rsidRPr="009C5DBB">
        <w:rPr>
          <w:rFonts w:ascii="Calibri Light" w:hAnsi="Calibri Light" w:cs="Calibri Light"/>
          <w:b/>
          <w:bCs/>
          <w:i w:val="0"/>
        </w:rPr>
        <w:t>Nadleśnictwo Gołdap</w:t>
      </w:r>
    </w:p>
    <w:p w14:paraId="15993D07" w14:textId="02188B24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60AD" w14:textId="77777777" w:rsidR="00D2029B" w:rsidRDefault="00D2029B">
      <w:r>
        <w:separator/>
      </w:r>
    </w:p>
  </w:endnote>
  <w:endnote w:type="continuationSeparator" w:id="0">
    <w:p w14:paraId="297B9133" w14:textId="77777777" w:rsidR="00D2029B" w:rsidRDefault="00D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E013" w14:textId="77777777" w:rsidR="00D2029B" w:rsidRDefault="00D2029B">
      <w:r>
        <w:rPr>
          <w:color w:val="000000"/>
        </w:rPr>
        <w:separator/>
      </w:r>
    </w:p>
  </w:footnote>
  <w:footnote w:type="continuationSeparator" w:id="0">
    <w:p w14:paraId="0D8397AC" w14:textId="77777777" w:rsidR="00D2029B" w:rsidRDefault="00D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4576637">
    <w:abstractNumId w:val="1"/>
  </w:num>
  <w:num w:numId="2" w16cid:durableId="1089694671">
    <w:abstractNumId w:val="0"/>
  </w:num>
  <w:num w:numId="3" w16cid:durableId="1314144201">
    <w:abstractNumId w:val="3"/>
  </w:num>
  <w:num w:numId="4" w16cid:durableId="704214150">
    <w:abstractNumId w:val="5"/>
  </w:num>
  <w:num w:numId="5" w16cid:durableId="1515075136">
    <w:abstractNumId w:val="4"/>
  </w:num>
  <w:num w:numId="6" w16cid:durableId="40091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52DF8"/>
    <w:rsid w:val="00062B8C"/>
    <w:rsid w:val="0006768B"/>
    <w:rsid w:val="00070A59"/>
    <w:rsid w:val="0009699E"/>
    <w:rsid w:val="000A0E97"/>
    <w:rsid w:val="000E4CCE"/>
    <w:rsid w:val="000F05DE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B165E"/>
    <w:rsid w:val="003C243B"/>
    <w:rsid w:val="003C6252"/>
    <w:rsid w:val="003D5564"/>
    <w:rsid w:val="00405B74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700D29"/>
    <w:rsid w:val="007011A7"/>
    <w:rsid w:val="007153C2"/>
    <w:rsid w:val="00720C91"/>
    <w:rsid w:val="007310D3"/>
    <w:rsid w:val="007430B7"/>
    <w:rsid w:val="007C6220"/>
    <w:rsid w:val="007D06EE"/>
    <w:rsid w:val="007E6BD8"/>
    <w:rsid w:val="00802037"/>
    <w:rsid w:val="0081418C"/>
    <w:rsid w:val="00834F03"/>
    <w:rsid w:val="00842925"/>
    <w:rsid w:val="008922F2"/>
    <w:rsid w:val="008B40D8"/>
    <w:rsid w:val="008B47CA"/>
    <w:rsid w:val="008C1D22"/>
    <w:rsid w:val="008C7ED8"/>
    <w:rsid w:val="008D343B"/>
    <w:rsid w:val="008F4BAB"/>
    <w:rsid w:val="00913669"/>
    <w:rsid w:val="009563BA"/>
    <w:rsid w:val="009665AE"/>
    <w:rsid w:val="00971B4A"/>
    <w:rsid w:val="0099297B"/>
    <w:rsid w:val="009A56AC"/>
    <w:rsid w:val="009C5DBB"/>
    <w:rsid w:val="00A10414"/>
    <w:rsid w:val="00A27F4C"/>
    <w:rsid w:val="00A34662"/>
    <w:rsid w:val="00A6467F"/>
    <w:rsid w:val="00A65FB7"/>
    <w:rsid w:val="00A806F9"/>
    <w:rsid w:val="00AB7A47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40855"/>
    <w:rsid w:val="00C8014F"/>
    <w:rsid w:val="00C80696"/>
    <w:rsid w:val="00C8358A"/>
    <w:rsid w:val="00C858C4"/>
    <w:rsid w:val="00C947FB"/>
    <w:rsid w:val="00CB2911"/>
    <w:rsid w:val="00CB47C8"/>
    <w:rsid w:val="00CD5726"/>
    <w:rsid w:val="00CF2C2B"/>
    <w:rsid w:val="00CF734F"/>
    <w:rsid w:val="00D2029B"/>
    <w:rsid w:val="00D53BF2"/>
    <w:rsid w:val="00D557AE"/>
    <w:rsid w:val="00D6601D"/>
    <w:rsid w:val="00D742EC"/>
    <w:rsid w:val="00D84FD8"/>
    <w:rsid w:val="00DA737A"/>
    <w:rsid w:val="00DA7B7F"/>
    <w:rsid w:val="00DB7C79"/>
    <w:rsid w:val="00E04DE4"/>
    <w:rsid w:val="00E16EF7"/>
    <w:rsid w:val="00E27E10"/>
    <w:rsid w:val="00E31FF6"/>
    <w:rsid w:val="00E35BAB"/>
    <w:rsid w:val="00E47363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7</cp:revision>
  <cp:lastPrinted>2022-04-27T11:08:00Z</cp:lastPrinted>
  <dcterms:created xsi:type="dcterms:W3CDTF">2022-04-27T05:50:00Z</dcterms:created>
  <dcterms:modified xsi:type="dcterms:W3CDTF">2022-06-02T12:46:00Z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