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D07" w:rsidRDefault="00000000" w:rsidP="00FC21E2">
      <w:r>
        <w:rPr>
          <w:b/>
        </w:rPr>
        <w:t>ZP-WIK.271.</w:t>
      </w:r>
      <w:r w:rsidR="00950544">
        <w:rPr>
          <w:b/>
        </w:rPr>
        <w:t>4</w:t>
      </w:r>
      <w:r>
        <w:rPr>
          <w:b/>
        </w:rPr>
        <w:t>.2023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b/>
          <w:bCs/>
        </w:rPr>
        <w:t xml:space="preserve">  </w:t>
      </w:r>
      <w:r w:rsidR="00FC21E2">
        <w:rPr>
          <w:b/>
          <w:bCs/>
        </w:rPr>
        <w:t xml:space="preserve">             </w:t>
      </w:r>
      <w:r>
        <w:rPr>
          <w:b/>
          <w:bCs/>
        </w:rPr>
        <w:t xml:space="preserve">Gołdap, dn. </w:t>
      </w:r>
      <w:r w:rsidR="00447D70">
        <w:rPr>
          <w:b/>
          <w:bCs/>
        </w:rPr>
        <w:t>1</w:t>
      </w:r>
      <w:r w:rsidR="00D40FF5">
        <w:rPr>
          <w:b/>
          <w:bCs/>
        </w:rPr>
        <w:t>8</w:t>
      </w:r>
      <w:r w:rsidR="00950544">
        <w:rPr>
          <w:b/>
          <w:bCs/>
        </w:rPr>
        <w:t>.04</w:t>
      </w:r>
      <w:r>
        <w:rPr>
          <w:b/>
          <w:bCs/>
        </w:rPr>
        <w:t>.2023 r.</w:t>
      </w:r>
    </w:p>
    <w:p w:rsidR="006B3D07" w:rsidRDefault="006B3D07"/>
    <w:p w:rsidR="006B3D07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:rsidR="006B3D07" w:rsidRDefault="00000000">
      <w:pPr>
        <w:jc w:val="center"/>
      </w:pPr>
      <w:r>
        <w:rPr>
          <w:b/>
        </w:rPr>
        <w:t>o wyborze najkorzystniejszej oferty</w:t>
      </w:r>
    </w:p>
    <w:p w:rsidR="006B3D07" w:rsidRDefault="006B3D07">
      <w:pPr>
        <w:pStyle w:val="Standard"/>
        <w:rPr>
          <w:sz w:val="16"/>
          <w:szCs w:val="16"/>
        </w:rPr>
      </w:pPr>
    </w:p>
    <w:p w:rsidR="006B3D07" w:rsidRDefault="00000000" w:rsidP="00447D70">
      <w:pPr>
        <w:jc w:val="both"/>
        <w:rPr>
          <w:rFonts w:eastAsia="Tahoma" w:cs="Times New Roman"/>
          <w:shd w:val="clear" w:color="auto" w:fill="FFFFFF"/>
        </w:rPr>
      </w:pPr>
      <w:r>
        <w:rPr>
          <w:rFonts w:cs="Tahoma"/>
          <w:shd w:val="clear" w:color="auto" w:fill="FFFFFF"/>
        </w:rPr>
        <w:t>Gmina Gołdap reprezentowana przez Burmistrza Gołdapi, na podstawie art. 253 ust. 1 pkt 1) Ustawy z dnia 11 września 2019 r. Prawo Zamówień Publicznych (</w:t>
      </w:r>
      <w:proofErr w:type="spellStart"/>
      <w:r>
        <w:rPr>
          <w:rFonts w:cs="Tahoma"/>
          <w:shd w:val="clear" w:color="auto" w:fill="FFFFFF"/>
        </w:rPr>
        <w:t>t.j</w:t>
      </w:r>
      <w:proofErr w:type="spellEnd"/>
      <w:r>
        <w:rPr>
          <w:rFonts w:cs="Tahoma"/>
          <w:shd w:val="clear" w:color="auto" w:fill="FFFFFF"/>
        </w:rPr>
        <w:t xml:space="preserve">.: Dz. U. z 2022 r., </w:t>
      </w:r>
      <w:r w:rsidR="00FC21E2">
        <w:rPr>
          <w:rFonts w:cs="Tahoma"/>
          <w:shd w:val="clear" w:color="auto" w:fill="FFFFFF"/>
        </w:rPr>
        <w:t xml:space="preserve">                  </w:t>
      </w:r>
      <w:r>
        <w:rPr>
          <w:rFonts w:cs="Tahoma"/>
          <w:shd w:val="clear" w:color="auto" w:fill="FFFFFF"/>
        </w:rPr>
        <w:t xml:space="preserve">poz. 1710 ze zm.), informuje, że w wyniku prowadzonego postępowania o udzielenie zamówienia publicznego w trybie podstawowym bez negocjacji </w:t>
      </w:r>
      <w:r w:rsidR="00FC21E2">
        <w:rPr>
          <w:rFonts w:cs="Tahoma"/>
          <w:shd w:val="clear" w:color="auto" w:fill="FFFFFF"/>
        </w:rPr>
        <w:t>na</w:t>
      </w:r>
      <w:r w:rsidR="00950544">
        <w:rPr>
          <w:b/>
          <w:bCs/>
        </w:rPr>
        <w:t xml:space="preserve"> budow</w:t>
      </w:r>
      <w:r w:rsidR="00FC21E2">
        <w:rPr>
          <w:b/>
          <w:bCs/>
        </w:rPr>
        <w:t>ę</w:t>
      </w:r>
      <w:r w:rsidR="00950544">
        <w:rPr>
          <w:b/>
          <w:bCs/>
        </w:rPr>
        <w:t xml:space="preserve"> ciągu pieszo – rowerowego wzdłuż jeziora Gołdap realizowanego w ramach projektu pn.: „Zmniejszenie presji na chronione gatunki i siedliska występujące na obszarze jeziora Gołdap poprzez budowę ciągu pieszo - rowerowego”, współfinansowanego ze środków Europejskiego Funduszu Rozwoju Regionalnego w ramach Regionalnego Programu Operacyjnego Województwa Warmińsko – Mazurskiego na lata 2014 -2020,</w:t>
      </w:r>
      <w:r w:rsidR="00447D70">
        <w:rPr>
          <w:rFonts w:cs="Times New Roman"/>
          <w:b/>
          <w:bCs/>
          <w:shd w:val="clear" w:color="auto" w:fill="FFFFFF"/>
          <w:lang w:eastAsia="hi-IN"/>
        </w:rPr>
        <w:t xml:space="preserve"> </w:t>
      </w:r>
      <w:r>
        <w:rPr>
          <w:rFonts w:eastAsia="Tahoma" w:cs="Tahoma"/>
          <w:shd w:val="clear" w:color="auto" w:fill="FFFFFF"/>
        </w:rPr>
        <w:t xml:space="preserve">oferta złożona </w:t>
      </w:r>
      <w:r w:rsidR="00FC21E2">
        <w:rPr>
          <w:rFonts w:eastAsia="Tahoma" w:cs="Tahoma"/>
          <w:shd w:val="clear" w:color="auto" w:fill="FFFFFF"/>
        </w:rPr>
        <w:t xml:space="preserve">do </w:t>
      </w:r>
      <w:r w:rsidR="00FC21E2" w:rsidRPr="009F3407">
        <w:rPr>
          <w:rFonts w:eastAsia="Tahoma" w:cs="Tahoma"/>
          <w:b/>
          <w:bCs/>
          <w:u w:val="single"/>
          <w:shd w:val="clear" w:color="auto" w:fill="FFFFFF"/>
        </w:rPr>
        <w:t>części 1</w:t>
      </w:r>
      <w:r w:rsidR="00FC21E2">
        <w:rPr>
          <w:rFonts w:eastAsia="Tahoma" w:cs="Tahoma"/>
          <w:shd w:val="clear" w:color="auto" w:fill="FFFFFF"/>
        </w:rPr>
        <w:t xml:space="preserve"> postępowania </w:t>
      </w:r>
      <w:r w:rsidR="009F3407">
        <w:rPr>
          <w:rFonts w:eastAsia="Tahoma" w:cs="Tahoma"/>
          <w:shd w:val="clear" w:color="auto" w:fill="FFFFFF"/>
        </w:rPr>
        <w:t>w przedmiocie</w:t>
      </w:r>
      <w:r w:rsidR="00FC21E2">
        <w:rPr>
          <w:rFonts w:eastAsia="Tahoma" w:cs="Tahoma"/>
          <w:shd w:val="clear" w:color="auto" w:fill="FFFFFF"/>
        </w:rPr>
        <w:t xml:space="preserve"> </w:t>
      </w:r>
      <w:r w:rsidR="00FC21E2" w:rsidRPr="009F3407">
        <w:rPr>
          <w:rFonts w:eastAsia="Tahoma" w:cs="Tahoma"/>
          <w:b/>
          <w:bCs/>
          <w:u w:val="single"/>
          <w:shd w:val="clear" w:color="auto" w:fill="FFFFFF"/>
        </w:rPr>
        <w:t>budowy ciągu pieszo – rowerowego</w:t>
      </w:r>
      <w:r w:rsidR="00FC21E2">
        <w:rPr>
          <w:rFonts w:eastAsia="Tahoma" w:cs="Tahoma"/>
          <w:shd w:val="clear" w:color="auto" w:fill="FFFFFF"/>
        </w:rPr>
        <w:t xml:space="preserve"> </w:t>
      </w:r>
      <w:r>
        <w:rPr>
          <w:rFonts w:eastAsia="Tahoma" w:cs="Tahoma"/>
          <w:shd w:val="clear" w:color="auto" w:fill="FFFFFF"/>
        </w:rPr>
        <w:t>przez</w:t>
      </w:r>
      <w:r>
        <w:rPr>
          <w:rFonts w:eastAsia="Tahoma" w:cs="Times New Roman"/>
          <w:shd w:val="clear" w:color="auto" w:fill="FFFFFF"/>
        </w:rPr>
        <w:t>:</w:t>
      </w:r>
    </w:p>
    <w:p w:rsidR="00FC21E2" w:rsidRDefault="00FC21E2" w:rsidP="00447D70">
      <w:pPr>
        <w:jc w:val="both"/>
      </w:pPr>
    </w:p>
    <w:p w:rsidR="006B3D07" w:rsidRDefault="00950544">
      <w:pPr>
        <w:pStyle w:val="Standard"/>
        <w:tabs>
          <w:tab w:val="center" w:pos="9381"/>
          <w:tab w:val="right" w:pos="13917"/>
        </w:tabs>
        <w:jc w:val="center"/>
      </w:pPr>
      <w:r>
        <w:rPr>
          <w:rStyle w:val="StrongEmphasis"/>
          <w:rFonts w:cs="Times New Roman"/>
        </w:rPr>
        <w:t xml:space="preserve">TOP-KOP Krzysztof Świtaj </w:t>
      </w:r>
      <w:r w:rsidR="00447D70">
        <w:rPr>
          <w:rStyle w:val="StrongEmphasis"/>
          <w:rFonts w:cs="Times New Roman"/>
        </w:rPr>
        <w:t xml:space="preserve"> </w:t>
      </w:r>
    </w:p>
    <w:p w:rsidR="006B3D07" w:rsidRDefault="00000000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ahoma"/>
          <w:b/>
          <w:shd w:val="clear" w:color="auto" w:fill="FFFFFF"/>
        </w:rPr>
      </w:pPr>
      <w:r>
        <w:rPr>
          <w:rFonts w:eastAsia="Tahoma" w:cs="Times New Roman"/>
          <w:b/>
          <w:bCs/>
          <w:color w:val="000000"/>
        </w:rPr>
        <w:t>z siedzibą w</w:t>
      </w:r>
      <w:r w:rsidR="00447D70">
        <w:rPr>
          <w:rFonts w:eastAsia="Tahoma" w:cs="Times New Roman"/>
          <w:b/>
          <w:bCs/>
          <w:color w:val="000000"/>
        </w:rPr>
        <w:t xml:space="preserve"> </w:t>
      </w:r>
      <w:r w:rsidR="00950544">
        <w:rPr>
          <w:rFonts w:eastAsia="Tahoma" w:cs="Times New Roman"/>
          <w:b/>
          <w:bCs/>
          <w:color w:val="000000"/>
        </w:rPr>
        <w:t>Niedrzwicy, ul. Graniczna 3, 19-500 Gołdap</w:t>
      </w:r>
      <w:r>
        <w:rPr>
          <w:rFonts w:eastAsia="Tahoma" w:cs="Times New Roman"/>
          <w:b/>
        </w:rPr>
        <w:t>, NIP</w:t>
      </w:r>
      <w:r>
        <w:rPr>
          <w:rFonts w:eastAsia="Tahoma" w:cs="Tahoma"/>
          <w:b/>
          <w:shd w:val="clear" w:color="auto" w:fill="FFFFFF"/>
        </w:rPr>
        <w:t xml:space="preserve"> </w:t>
      </w:r>
      <w:r w:rsidR="00447D70">
        <w:rPr>
          <w:rFonts w:eastAsia="Tahoma" w:cs="Tahoma"/>
          <w:b/>
          <w:shd w:val="clear" w:color="auto" w:fill="FFFFFF"/>
        </w:rPr>
        <w:t>847</w:t>
      </w:r>
      <w:r w:rsidR="00950544">
        <w:rPr>
          <w:rFonts w:eastAsia="Tahoma" w:cs="Tahoma"/>
          <w:b/>
          <w:shd w:val="clear" w:color="auto" w:fill="FFFFFF"/>
        </w:rPr>
        <w:t>1524310</w:t>
      </w:r>
    </w:p>
    <w:p w:rsidR="00FC21E2" w:rsidRDefault="00FC21E2">
      <w:pPr>
        <w:pStyle w:val="Standard"/>
        <w:tabs>
          <w:tab w:val="center" w:pos="9381"/>
          <w:tab w:val="right" w:pos="13917"/>
        </w:tabs>
        <w:spacing w:line="100" w:lineRule="atLeast"/>
        <w:jc w:val="center"/>
      </w:pPr>
    </w:p>
    <w:p w:rsidR="006B3D07" w:rsidRDefault="00000000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w rozumieniu art. 239 ust. 2 Ustawy Pzp w oparciu o cenę oraz okres gwarancji, określonych w dokumentach zamówienia, jako kryteria oceny ofert:</w:t>
      </w:r>
    </w:p>
    <w:p w:rsidR="006B3D07" w:rsidRDefault="00000000">
      <w:pPr>
        <w:pStyle w:val="Standard"/>
        <w:widowControl/>
        <w:numPr>
          <w:ilvl w:val="0"/>
          <w:numId w:val="42"/>
        </w:numPr>
      </w:pPr>
      <w:r>
        <w:rPr>
          <w:rFonts w:cs="Tahoma"/>
          <w:b/>
          <w:bCs/>
          <w:sz w:val="22"/>
          <w:szCs w:val="22"/>
        </w:rPr>
        <w:t xml:space="preserve">cena ofertowa – </w:t>
      </w:r>
      <w:r w:rsidR="00950544">
        <w:rPr>
          <w:rFonts w:cs="Tahoma"/>
          <w:b/>
          <w:bCs/>
          <w:sz w:val="22"/>
          <w:szCs w:val="22"/>
        </w:rPr>
        <w:t>2 059 097,23</w:t>
      </w:r>
      <w:r>
        <w:rPr>
          <w:rFonts w:cs="Tahoma"/>
          <w:b/>
          <w:bCs/>
          <w:sz w:val="22"/>
          <w:szCs w:val="22"/>
        </w:rPr>
        <w:t xml:space="preserve"> zł brutto</w:t>
      </w:r>
    </w:p>
    <w:p w:rsidR="006B3D07" w:rsidRPr="00FC21E2" w:rsidRDefault="00000000">
      <w:pPr>
        <w:pStyle w:val="Standard"/>
        <w:widowControl/>
        <w:numPr>
          <w:ilvl w:val="0"/>
          <w:numId w:val="35"/>
        </w:numPr>
      </w:pPr>
      <w:r>
        <w:rPr>
          <w:rFonts w:cs="Tahoma"/>
          <w:b/>
          <w:bCs/>
          <w:sz w:val="22"/>
          <w:szCs w:val="22"/>
        </w:rPr>
        <w:t>okres gwarancji – 60 miesięcy</w:t>
      </w:r>
    </w:p>
    <w:p w:rsidR="00FC21E2" w:rsidRDefault="00FC21E2">
      <w:pPr>
        <w:pStyle w:val="Standard"/>
        <w:widowControl/>
        <w:numPr>
          <w:ilvl w:val="0"/>
          <w:numId w:val="35"/>
        </w:numPr>
      </w:pPr>
    </w:p>
    <w:p w:rsidR="006B3D07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537"/>
        <w:gridCol w:w="2713"/>
        <w:gridCol w:w="1276"/>
        <w:gridCol w:w="992"/>
        <w:gridCol w:w="1417"/>
        <w:gridCol w:w="993"/>
        <w:gridCol w:w="992"/>
      </w:tblGrid>
      <w:tr w:rsidR="006B3D07" w:rsidTr="009F3407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27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okres gwarancji (w miesiącach) - 40%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6B3D07" w:rsidTr="009F3407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/>
        </w:tc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6B3D07"/>
        </w:tc>
        <w:tc>
          <w:tcPr>
            <w:tcW w:w="27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/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Ilość zadeklarowana w ofercie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6B3D07"/>
        </w:tc>
      </w:tr>
      <w:tr w:rsidR="006B3D07" w:rsidTr="009F3407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3D07" w:rsidRDefault="00000000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0544" w:rsidRPr="009F3407" w:rsidRDefault="00950544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9F3407">
              <w:rPr>
                <w:rFonts w:eastAsia="Tahoma" w:cs="Tahoma"/>
                <w:sz w:val="22"/>
                <w:szCs w:val="22"/>
                <w:shd w:val="clear" w:color="auto" w:fill="FFFFFF"/>
              </w:rPr>
              <w:t xml:space="preserve">TOP-KOP Krzysztof Świtaj </w:t>
            </w:r>
          </w:p>
          <w:p w:rsidR="00950544" w:rsidRPr="009F3407" w:rsidRDefault="00950544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9F3407">
              <w:rPr>
                <w:rFonts w:eastAsia="Tahoma" w:cs="Tahoma"/>
                <w:sz w:val="22"/>
                <w:szCs w:val="22"/>
                <w:shd w:val="clear" w:color="auto" w:fill="FFFFFF"/>
              </w:rPr>
              <w:t>Niedrzwica, ul. Graniczna 3</w:t>
            </w:r>
          </w:p>
          <w:p w:rsidR="00950544" w:rsidRPr="009F3407" w:rsidRDefault="00950544">
            <w:pPr>
              <w:pStyle w:val="Standard"/>
              <w:jc w:val="both"/>
              <w:rPr>
                <w:rFonts w:eastAsia="Tahoma" w:cs="Tahoma"/>
                <w:sz w:val="22"/>
                <w:szCs w:val="22"/>
                <w:shd w:val="clear" w:color="auto" w:fill="FFFFFF"/>
              </w:rPr>
            </w:pPr>
            <w:r w:rsidRPr="009F3407">
              <w:rPr>
                <w:rFonts w:eastAsia="Tahoma" w:cs="Tahoma"/>
                <w:sz w:val="22"/>
                <w:szCs w:val="22"/>
                <w:shd w:val="clear" w:color="auto" w:fill="FFFFFF"/>
              </w:rPr>
              <w:t>19-500 Gołdap</w:t>
            </w:r>
          </w:p>
          <w:p w:rsidR="00447D70" w:rsidRDefault="00950544" w:rsidP="00950544">
            <w:pPr>
              <w:pStyle w:val="Standard"/>
              <w:jc w:val="both"/>
              <w:rPr>
                <w:rFonts w:eastAsia="Tahoma" w:cs="Tahoma"/>
                <w:sz w:val="18"/>
                <w:szCs w:val="18"/>
                <w:shd w:val="clear" w:color="auto" w:fill="FFFFFF"/>
              </w:rPr>
            </w:pPr>
            <w:r w:rsidRPr="009F3407">
              <w:rPr>
                <w:rFonts w:eastAsia="Tahoma" w:cs="Tahoma"/>
                <w:sz w:val="22"/>
                <w:szCs w:val="22"/>
                <w:shd w:val="clear" w:color="auto" w:fill="FFFFFF"/>
              </w:rPr>
              <w:t>NIP 8471524310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Pr="009F3407" w:rsidRDefault="009F3407">
            <w:pPr>
              <w:pStyle w:val="TableContents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9F3407">
              <w:rPr>
                <w:sz w:val="22"/>
                <w:szCs w:val="22"/>
              </w:rPr>
              <w:t>2 059 097,23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Pr="009F34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9F3407">
              <w:rPr>
                <w:rFonts w:eastAsia="Tahoma" w:cs="Tahoma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Pr="009F3407" w:rsidRDefault="00000000">
            <w:pPr>
              <w:pStyle w:val="TableContents"/>
              <w:ind w:left="137"/>
              <w:jc w:val="center"/>
              <w:rPr>
                <w:sz w:val="22"/>
                <w:szCs w:val="22"/>
              </w:rPr>
            </w:pPr>
            <w:r w:rsidRPr="009F3407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Pr="009F34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9F3407">
              <w:rPr>
                <w:rFonts w:eastAsia="Tahoma" w:cs="Tahoma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B3D07" w:rsidRPr="009F3407" w:rsidRDefault="00000000">
            <w:pPr>
              <w:pStyle w:val="TableContents"/>
              <w:jc w:val="center"/>
              <w:rPr>
                <w:rFonts w:eastAsia="Tahoma" w:cs="Tahoma"/>
                <w:b/>
                <w:bCs/>
                <w:sz w:val="22"/>
                <w:szCs w:val="22"/>
              </w:rPr>
            </w:pPr>
            <w:r w:rsidRPr="009F3407">
              <w:rPr>
                <w:rFonts w:eastAsia="Tahoma" w:cs="Tahoma"/>
                <w:b/>
                <w:bCs/>
                <w:sz w:val="22"/>
                <w:szCs w:val="22"/>
              </w:rPr>
              <w:t>100,00</w:t>
            </w:r>
          </w:p>
        </w:tc>
      </w:tr>
    </w:tbl>
    <w:p w:rsidR="006B3D07" w:rsidRDefault="006B3D07">
      <w:pPr>
        <w:jc w:val="both"/>
      </w:pPr>
    </w:p>
    <w:p w:rsidR="006B3D07" w:rsidRDefault="00000000" w:rsidP="009F3407">
      <w:pPr>
        <w:pStyle w:val="Textbody"/>
        <w:spacing w:line="100" w:lineRule="atLeast"/>
        <w:ind w:firstLine="4111"/>
        <w:jc w:val="center"/>
      </w:pPr>
      <w:r>
        <w:rPr>
          <w:b/>
          <w:sz w:val="22"/>
          <w:szCs w:val="22"/>
        </w:rPr>
        <w:t>Z poważaniem</w:t>
      </w:r>
    </w:p>
    <w:sectPr w:rsidR="006B3D07" w:rsidSect="00FC21E2">
      <w:headerReference w:type="default" r:id="rId7"/>
      <w:headerReference w:type="first" r:id="rId8"/>
      <w:pgSz w:w="11906" w:h="16838"/>
      <w:pgMar w:top="1103" w:right="1274" w:bottom="1004" w:left="1418" w:header="0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630" w:rsidRDefault="00EE7630">
      <w:r>
        <w:separator/>
      </w:r>
    </w:p>
  </w:endnote>
  <w:endnote w:type="continuationSeparator" w:id="0">
    <w:p w:rsidR="00EE7630" w:rsidRDefault="00EE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630" w:rsidRDefault="00EE7630">
      <w:r>
        <w:rPr>
          <w:color w:val="000000"/>
        </w:rPr>
        <w:separator/>
      </w:r>
    </w:p>
  </w:footnote>
  <w:footnote w:type="continuationSeparator" w:id="0">
    <w:p w:rsidR="00EE7630" w:rsidRDefault="00EE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30F" w:rsidRDefault="00000000">
    <w:pPr>
      <w:pStyle w:val="Nagwek"/>
    </w:pPr>
  </w:p>
  <w:p w:rsidR="00EA730F" w:rsidRDefault="00000000">
    <w:pPr>
      <w:pStyle w:val="Nagwek"/>
    </w:pPr>
  </w:p>
  <w:p w:rsidR="00EA730F" w:rsidRDefault="00000000">
    <w:pPr>
      <w:pStyle w:val="Nagwek"/>
    </w:pPr>
  </w:p>
  <w:p w:rsidR="00EA730F" w:rsidRDefault="00000000">
    <w:pPr>
      <w:pStyle w:val="Nagwek"/>
    </w:pPr>
  </w:p>
  <w:p w:rsidR="00EA730F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730F" w:rsidRDefault="00000000">
    <w:pPr>
      <w:pStyle w:val="Nagwek"/>
    </w:pPr>
  </w:p>
  <w:p w:rsidR="00EA730F" w:rsidRDefault="00000000">
    <w:pPr>
      <w:pStyle w:val="Nagwek"/>
      <w:jc w:val="center"/>
    </w:pPr>
    <w:r>
      <w:rPr>
        <w:noProof/>
      </w:rPr>
      <w:drawing>
        <wp:inline distT="0" distB="0" distL="0" distR="0">
          <wp:extent cx="5848350" cy="599846"/>
          <wp:effectExtent l="0" t="0" r="0" b="0"/>
          <wp:docPr id="758255908" name="Obraz 7582559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619" cy="60182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A730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0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35420C"/>
    <w:rsid w:val="00447D70"/>
    <w:rsid w:val="006B3D07"/>
    <w:rsid w:val="007A356C"/>
    <w:rsid w:val="00950544"/>
    <w:rsid w:val="009D767A"/>
    <w:rsid w:val="009F3407"/>
    <w:rsid w:val="00D40FF5"/>
    <w:rsid w:val="00E327CD"/>
    <w:rsid w:val="00ED7A8B"/>
    <w:rsid w:val="00EE7630"/>
    <w:rsid w:val="00F51883"/>
    <w:rsid w:val="00FC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D140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5</cp:revision>
  <cp:lastPrinted>2023-04-18T07:53:00Z</cp:lastPrinted>
  <dcterms:created xsi:type="dcterms:W3CDTF">2023-04-17T09:10:00Z</dcterms:created>
  <dcterms:modified xsi:type="dcterms:W3CDTF">2023-04-18T07:54:00Z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