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C57E" w14:textId="5279EB0E" w:rsidR="00016A67" w:rsidRDefault="007430BB" w:rsidP="007430BB">
      <w:pPr>
        <w:jc w:val="right"/>
      </w:pPr>
      <w:r>
        <w:t>Załącznik nr 1 do Instrukcji</w:t>
      </w:r>
    </w:p>
    <w:p w14:paraId="2A3B609D" w14:textId="77777777" w:rsidR="007430BB" w:rsidRDefault="007430BB" w:rsidP="007430BB">
      <w:pPr>
        <w:jc w:val="right"/>
      </w:pPr>
    </w:p>
    <w:p w14:paraId="53DC8ECF" w14:textId="343F432D" w:rsidR="007430BB" w:rsidRDefault="007430BB" w:rsidP="007430BB">
      <w:pPr>
        <w:jc w:val="center"/>
        <w:rPr>
          <w:b/>
          <w:bCs/>
        </w:rPr>
      </w:pPr>
      <w:r w:rsidRPr="007430BB">
        <w:rPr>
          <w:b/>
          <w:bCs/>
        </w:rPr>
        <w:t>WYTYCZNE DLA JEDNOSTEK ORGANIZACYJNYCH GMINY GOŁDAP W SPRAWIE ZASAD GOSPODAROWANIA SKŁADNIKAMI RZECZOWYMI MAJĄTKU RUCHOMEGO</w:t>
      </w:r>
    </w:p>
    <w:p w14:paraId="7A00D52F" w14:textId="77777777" w:rsidR="00A667C5" w:rsidRDefault="00A667C5" w:rsidP="007430BB">
      <w:pPr>
        <w:jc w:val="center"/>
        <w:rPr>
          <w:b/>
          <w:bCs/>
        </w:rPr>
      </w:pPr>
    </w:p>
    <w:p w14:paraId="2518C2E6" w14:textId="216C2147" w:rsidR="007430BB" w:rsidRDefault="007430BB" w:rsidP="007430BB">
      <w:pPr>
        <w:jc w:val="both"/>
      </w:pPr>
      <w:r>
        <w:rPr>
          <w:rFonts w:cstheme="minorHAnsi"/>
        </w:rPr>
        <w:t>§</w:t>
      </w:r>
      <w:r>
        <w:t xml:space="preserve"> 1. 1. Jednostki organizacyjne </w:t>
      </w:r>
      <w:r w:rsidR="00013177">
        <w:t>g</w:t>
      </w:r>
      <w:r>
        <w:t>miny są zobowiązane do wykorzystywania składników rzeczowych majątku ruchomego dla realizacji swoich zadań oraz gospodarowania tymi składnikami w sposób oszczędny i racjonalny.</w:t>
      </w:r>
    </w:p>
    <w:p w14:paraId="553A61CA" w14:textId="2632B6D1" w:rsidR="007430BB" w:rsidRDefault="007430BB" w:rsidP="007430BB">
      <w:pPr>
        <w:jc w:val="both"/>
      </w:pPr>
      <w:r>
        <w:t>2. Jednostki są zobowiązane do utrzymywania składników rzeczowych majątku ruchomego w stanie niepogorszonym z uwzględnieniem naturalnego zużycia oraz zapewnienia nad nimi efektywnego nadzoru.</w:t>
      </w:r>
    </w:p>
    <w:p w14:paraId="029C2D85" w14:textId="1B4006EC" w:rsidR="00FC50D1" w:rsidRDefault="00FC50D1" w:rsidP="007430BB">
      <w:pPr>
        <w:jc w:val="both"/>
      </w:pPr>
      <w:r>
        <w:rPr>
          <w:rFonts w:cstheme="minorHAnsi"/>
        </w:rPr>
        <w:t>§</w:t>
      </w:r>
      <w:r>
        <w:t xml:space="preserve"> 2. W przypadku stwierdzenia w wyniku inwentaryzacji lub bieżącej działalności istnienia składników rzeczowych majątku ruchomego, które są zbędn</w:t>
      </w:r>
      <w:r w:rsidR="00013177">
        <w:t>e</w:t>
      </w:r>
      <w:r>
        <w:t xml:space="preserve"> lub zużyte, kierownik jednostki powołuje komisję, która przedstawia propozycje dotyczące dalszego zagospodarowania.</w:t>
      </w:r>
    </w:p>
    <w:p w14:paraId="131DDABF" w14:textId="7CDF7517" w:rsidR="00FC50D1" w:rsidRDefault="00FC50D1" w:rsidP="007430BB">
      <w:pPr>
        <w:jc w:val="both"/>
      </w:pPr>
      <w:r>
        <w:rPr>
          <w:rFonts w:cstheme="minorHAnsi"/>
        </w:rPr>
        <w:t>§</w:t>
      </w:r>
      <w:r>
        <w:t xml:space="preserve"> 3. 1. Zbędne lub zużyte składniki rzeczowe majątku ruchomego będące w posiadaniu jednostki mogą być przedmiotem sprzedaży, nieodpłatnego przekazania lub darowizny.</w:t>
      </w:r>
    </w:p>
    <w:p w14:paraId="239BE77F" w14:textId="61CD8582" w:rsidR="00FC50D1" w:rsidRDefault="00FC50D1" w:rsidP="007430BB">
      <w:pPr>
        <w:jc w:val="both"/>
      </w:pPr>
      <w:r>
        <w:t>2. Przy gospodarowaniu zbędnymi lub zużytymi składnikami rzeczowymi majątku ruchomego uwzględnia się w pierwszej kolejności potrzeby innych jednostek</w:t>
      </w:r>
      <w:r w:rsidR="00002053">
        <w:t xml:space="preserve"> organizacyjnych</w:t>
      </w:r>
      <w:r>
        <w:t xml:space="preserve"> </w:t>
      </w:r>
      <w:r w:rsidR="00013177">
        <w:t>g</w:t>
      </w:r>
      <w:r>
        <w:t>miny.</w:t>
      </w:r>
    </w:p>
    <w:p w14:paraId="71278C0F" w14:textId="50C8C21D" w:rsidR="00FC50D1" w:rsidRDefault="00FC50D1" w:rsidP="007430BB">
      <w:pPr>
        <w:jc w:val="both"/>
      </w:pPr>
      <w:r>
        <w:rPr>
          <w:rFonts w:cstheme="minorHAnsi"/>
        </w:rPr>
        <w:t>§</w:t>
      </w:r>
      <w:r>
        <w:t xml:space="preserve"> 4. Każda jednostka </w:t>
      </w:r>
      <w:r w:rsidR="006577D5">
        <w:t>organizacyjna g</w:t>
      </w:r>
      <w:r>
        <w:t>miny ma obowiązek wprowadzenia odpowiednich uregulowań dotyczących zasad gospodarowania majątkiem ruchomym i odpowiedzialności pracowników za</w:t>
      </w:r>
      <w:r w:rsidR="006577D5">
        <w:t> </w:t>
      </w:r>
      <w:r>
        <w:t>powierzony majątek.</w:t>
      </w:r>
    </w:p>
    <w:p w14:paraId="0E8D015C" w14:textId="77777777" w:rsidR="007430BB" w:rsidRPr="007430BB" w:rsidRDefault="007430BB" w:rsidP="007430BB"/>
    <w:p w14:paraId="1600EFFF" w14:textId="77777777" w:rsidR="007430BB" w:rsidRDefault="007430BB"/>
    <w:sectPr w:rsidR="00743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9B"/>
    <w:rsid w:val="00002053"/>
    <w:rsid w:val="00013177"/>
    <w:rsid w:val="00016A67"/>
    <w:rsid w:val="006577D5"/>
    <w:rsid w:val="007430BB"/>
    <w:rsid w:val="0094079B"/>
    <w:rsid w:val="00A667C5"/>
    <w:rsid w:val="00FC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1BD2"/>
  <w15:chartTrackingRefBased/>
  <w15:docId w15:val="{002C4DA5-5D1B-49E6-8937-4951F818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Popławska</dc:creator>
  <cp:keywords/>
  <dc:description/>
  <cp:lastModifiedBy>Róża Popławska</cp:lastModifiedBy>
  <cp:revision>7</cp:revision>
  <dcterms:created xsi:type="dcterms:W3CDTF">2020-11-04T10:05:00Z</dcterms:created>
  <dcterms:modified xsi:type="dcterms:W3CDTF">2021-11-19T08:08:00Z</dcterms:modified>
</cp:coreProperties>
</file>